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2-chronicles-36"/>
    <w:p>
      <w:pPr>
        <w:pStyle w:val="Heading1"/>
      </w:pPr>
      <w:r>
        <w:t xml:space="preserve">Homiletics Analysis: 2 Chronicles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36 is the final chapter of the book and functions as the theological climax of the entire Chronicler’s narrative. It records the rapid succession and failure of Judah’s last four kings — Jehoahaz, Jehoiakim, Jehoiachin, and Zedekiah — compressed into a tightly structured, almost liturgical collapse. Each king</w:t>
      </w:r>
      <w:r>
        <w:t xml:space="preserve"> </w:t>
      </w:r>
      <w:r>
        <w:t xml:space="preserve">“does evil in the eyes of the LORD,”</w:t>
      </w:r>
      <w:r>
        <w:t xml:space="preserve"> </w:t>
      </w:r>
      <w:r>
        <w:t xml:space="preserve">each faces consequences at the hands of foreign powers (Egypt, then Babylon progressively tightening its grip), and the chapter culminates in the destruction of Jerusalem, the burning of the temple, and the exile of the surviving population. The final verses then pivot dramatically: the seventy-year exile fulfills Jeremiah’s prophecy, and Cyrus of Persia issues a decree allowing the exiles to return and rebuild the house of God. The chapter ends not on devastation but on an open door — the last words of the Hebrew Bible in canonical order are</w:t>
      </w:r>
      <w:r>
        <w:t xml:space="preserve"> </w:t>
      </w:r>
      <w:r>
        <w:rPr>
          <w:i/>
          <w:iCs/>
        </w:rPr>
        <w:t xml:space="preserve">“Let him go up”</w:t>
      </w:r>
      <w:r>
        <w:t xml:space="preserve"> </w:t>
      </w:r>
      <w:r>
        <w:t xml:space="preserve">(v. 23).</w:t>
      </w:r>
    </w:p>
    <w:p>
      <w:pPr>
        <w:pStyle w:val="BodyText"/>
      </w:pPr>
      <w:r>
        <w:t xml:space="preserve">The Chronicler does not simply narrate these events but interprets them theologically, using a recurring three-part pattern for each king: the king’s tenure, his sin, and God’s judgment through foreign powers. More significantly, verses 15-16 provide the Chronicler’s explicit theological explanation for the entire catastrophe: God sent prophets</w:t>
      </w:r>
      <w:r>
        <w:t xml:space="preserve"> </w:t>
      </w:r>
      <w:r>
        <w:t xml:space="preserve">“again and again”</w:t>
      </w:r>
      <w:r>
        <w:t xml:space="preserve"> </w:t>
      </w:r>
      <w:r>
        <w:t xml:space="preserve">because He had compassion on His people and His dwelling place; the people mocked, despised, and scoffed until</w:t>
      </w:r>
      <w:r>
        <w:t xml:space="preserve"> </w:t>
      </w:r>
      <w:r>
        <w:t xml:space="preserve">“the wrath of the LORD arose against his people, until there was no remedy.”</w:t>
      </w:r>
      <w:r>
        <w:t xml:space="preserve"> </w:t>
      </w:r>
      <w:r>
        <w:t xml:space="preserve">This is the hermeneutical key to the chapter and to the entire book.</w:t>
      </w:r>
    </w:p>
    <w:p>
      <w:pPr>
        <w:pStyle w:val="BodyText"/>
      </w:pPr>
      <w:r>
        <w:rPr>
          <w:b/>
          <w:bCs/>
        </w:rPr>
        <w:t xml:space="preserve">This Text — Intent</w:t>
      </w:r>
    </w:p>
    <w:p>
      <w:pPr>
        <w:pStyle w:val="BodyText"/>
      </w:pPr>
      <w:r>
        <w:t xml:space="preserve">God’s intent through this passage is to confront readers with the deadly seriousness of sustained, hardened covenant unfaithfulness — while simultaneously refusing to let that confrontation be the final word. The Chronicler wants the post-exilic community (his original audience, recently returned from Babylon) to understand both</w:t>
      </w:r>
      <w:r>
        <w:t xml:space="preserve"> </w:t>
      </w:r>
      <w:r>
        <w:rPr>
          <w:i/>
          <w:iCs/>
        </w:rPr>
        <w:t xml:space="preserve">why</w:t>
      </w:r>
      <w:r>
        <w:t xml:space="preserve"> </w:t>
      </w:r>
      <w:r>
        <w:t xml:space="preserve">the disaster happened (not political miscalculation but covenant rebellion compounded beyond remedy) and</w:t>
      </w:r>
      <w:r>
        <w:t xml:space="preserve"> </w:t>
      </w:r>
      <w:r>
        <w:rPr>
          <w:i/>
          <w:iCs/>
        </w:rPr>
        <w:t xml:space="preserve">who</w:t>
      </w:r>
      <w:r>
        <w:t xml:space="preserve"> </w:t>
      </w:r>
      <w:r>
        <w:t xml:space="preserve">the God is they are now serving (a God whose compassion generates repeated warnings, whose justice eventually must act, and whose purposes cannot ultimately be stopped by human failure). The passage is designed to produce in the reader both sober reckoning with the cost of covenant unfaithfulness and renewed confidence in the God who preserves His redemptive purposes through and beyond catastrophe.</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Judah’s covenant rebellion brings irreversible judgment — yet God’s redemptive purpose survives the wreckage.</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His people to face squarely what sustained unfaithfulness costs — the loss of everything — while trusting that He remains sovereign over the wreckage, that His compassion has not expired, and that His purposes move forward precisely through the exile and restoration He orchestrates.</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“no remedy”</w:t>
      </w:r>
      <w:r>
        <w:rPr>
          <w:b/>
          <w:bCs/>
        </w:rPr>
        <w:t xml:space="preserve"> </w:t>
      </w:r>
      <w:r>
        <w:rPr>
          <w:b/>
          <w:bCs/>
        </w:rPr>
        <w:t xml:space="preserve">clause (v. 16)</w:t>
      </w:r>
      <w:r>
        <w:t xml:space="preserve"> </w:t>
      </w:r>
      <w:r>
        <w:t xml:space="preserve">is the most theologically loaded phrase in the chapter and generates real interpretive divergence. Some Arminian and Wesleyan readers take</w:t>
      </w:r>
      <w:r>
        <w:t xml:space="preserve"> </w:t>
      </w:r>
      <w:r>
        <w:rPr>
          <w:i/>
          <w:iCs/>
        </w:rPr>
        <w:t xml:space="preserve">“until there was no remedy”</w:t>
      </w:r>
      <w:r>
        <w:t xml:space="preserve"> </w:t>
      </w:r>
      <w:r>
        <w:t xml:space="preserve">as evidence that human unfaithfulness can finally and permanently exhaust divine grace — that the covenant relationship can be so thoroughly destroyed from the human side that even God cannot or will not restore it. This reading is</w:t>
      </w:r>
      <w:r>
        <w:t xml:space="preserve"> </w:t>
      </w:r>
      <w:r>
        <w:rPr>
          <w:b/>
          <w:bCs/>
        </w:rPr>
        <w:t xml:space="preserve">qualified</w:t>
      </w:r>
      <w:r>
        <w:t xml:space="preserve">: the text does genuinely teach that judgment reaches a point of irreversibility for</w:t>
      </w:r>
      <w:r>
        <w:t xml:space="preserve"> </w:t>
      </w:r>
      <w:r>
        <w:rPr>
          <w:i/>
          <w:iCs/>
        </w:rPr>
        <w:t xml:space="preserve">this generation in this form</w:t>
      </w:r>
      <w:r>
        <w:t xml:space="preserve"> </w:t>
      </w:r>
      <w:r>
        <w:t xml:space="preserve">(the Solomonic temple will not be rebuilt; these kings will not be restored). The corporate, generational dimension of covenant judgment is real. However, the Chronicler himself refuses to let the</w:t>
      </w:r>
      <w:r>
        <w:t xml:space="preserve"> </w:t>
      </w:r>
      <w:r>
        <w:t xml:space="preserve">“no remedy”</w:t>
      </w:r>
      <w:r>
        <w:t xml:space="preserve"> </w:t>
      </w:r>
      <w:r>
        <w:t xml:space="preserve">language be the final word — he immediately closes the chapter with Cyrus’s decree and the open call to go up and rebuild. The</w:t>
      </w:r>
      <w:r>
        <w:t xml:space="preserve"> </w:t>
      </w:r>
      <w:r>
        <w:t xml:space="preserve">“no remedy”</w:t>
      </w:r>
      <w:r>
        <w:t xml:space="preserve"> </w:t>
      </w:r>
      <w:r>
        <w:t xml:space="preserve">applies to the specific covenant arrangement as constituted (monarchy, temple, land tenure), not to God’s ultimate redemptive purpose for His people. The Reformed reading holds: God’s sovereign purposes are not finally frustrated by human failure; the exile fulfills prophecy (v. 21) and Cyrus’s decree fulfills prophecy (v. 22) — both are acts of divine governance, not improvisations around human collapse.</w:t>
      </w:r>
    </w:p>
    <w:p>
      <w:pPr>
        <w:pStyle w:val="BodyText"/>
      </w:pPr>
      <w:r>
        <w:rPr>
          <w:b/>
          <w:bCs/>
        </w:rPr>
        <w:t xml:space="preserve">The role of Cyrus (vv. 22-23)</w:t>
      </w:r>
      <w:r>
        <w:t xml:space="preserve"> </w:t>
      </w:r>
      <w:r>
        <w:t xml:space="preserve">raises a dispensational concern about whether the return from exile is the fulfillment of prophetic promises or merely a partial, typological anticipation. Dispensational interpreters often treat the physical return from Babylon as incomplete fulfillment, reserving full fulfillment for a future national restoration of Israel. This reading is</w:t>
      </w:r>
      <w:r>
        <w:t xml:space="preserve"> </w:t>
      </w:r>
      <w:r>
        <w:rPr>
          <w:b/>
          <w:bCs/>
        </w:rPr>
        <w:t xml:space="preserve">acknowledged</w:t>
      </w:r>
      <w:r>
        <w:t xml:space="preserve"> </w:t>
      </w:r>
      <w:r>
        <w:t xml:space="preserve">at the typological level — the Ezra-Nehemiah community clearly does not exhaust the scope of prophetic promise — but it is</w:t>
      </w:r>
      <w:r>
        <w:t xml:space="preserve"> </w:t>
      </w:r>
      <w:r>
        <w:rPr>
          <w:b/>
          <w:bCs/>
        </w:rPr>
        <w:t xml:space="preserve">qualified</w:t>
      </w:r>
      <w:r>
        <w:t xml:space="preserve"> </w:t>
      </w:r>
      <w:r>
        <w:t xml:space="preserve">insofar as 2 Chronicles 36 is not primarily about predicting the future. The Chronicler’s purpose is pastoral and retrospective: he is showing his</w:t>
      </w:r>
      <w:r>
        <w:t xml:space="preserve"> </w:t>
      </w:r>
      <w:r>
        <w:rPr>
          <w:i/>
          <w:iCs/>
        </w:rPr>
        <w:t xml:space="preserve">own</w:t>
      </w:r>
      <w:r>
        <w:t xml:space="preserve"> </w:t>
      </w:r>
      <w:r>
        <w:t xml:space="preserve">post-exilic community that God’s faithfulness has already been demonstrated in the return, and calling them to respond with faithful worship. The primary application of vv. 22-23 is to the Chronicler’s original audience, not a future dispensational program.</w:t>
      </w:r>
    </w:p>
    <w:p>
      <w:pPr>
        <w:pStyle w:val="BodyText"/>
      </w:pPr>
      <w:r>
        <w:rPr>
          <w:b/>
          <w:bCs/>
        </w:rPr>
        <w:t xml:space="preserve">The compression of four kings into a single chapter</w:t>
      </w:r>
      <w:r>
        <w:t xml:space="preserve"> </w:t>
      </w:r>
      <w:r>
        <w:t xml:space="preserve">has led some interpreters to treat this section as primarily a historical appendix paralleling 2 Kings 23-25, with the theological interpretation in vv. 15-16 as secondary editorial commentary. This reading is</w:t>
      </w:r>
      <w:r>
        <w:t xml:space="preserve"> </w:t>
      </w:r>
      <w:r>
        <w:rPr>
          <w:b/>
          <w:bCs/>
        </w:rPr>
        <w:t xml:space="preserve">refuted</w:t>
      </w:r>
      <w:r>
        <w:t xml:space="preserve">. The Chronicler is not writing history with theological footnotes; he is writing theology through selective historical presentation. The structural pattern (sin → warning → judgment → exile) applied to each king is the argument, not an appendix. The difference between Kings and Chronicles is precisely that Chronicles interprets what Kings narrates. The theological center of gravity in this chapter is the character and patience of God, not the chronicle of royal failure.</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Jeremiah 25:1-14</w:t>
      </w:r>
      <w:r>
        <w:t xml:space="preserve"> </w:t>
      </w:r>
      <w:r>
        <w:t xml:space="preserve">— Jeremiah’s prophecy of the seventy-year exile that 2 Chronicles 36:21 explicitly cites; establishes that the catastrophe was not a political accident but the fulfillment of prophetic word, grounding the Chronicler’s theological interpretation.</w:t>
      </w:r>
    </w:p>
    <w:p>
      <w:pPr>
        <w:numPr>
          <w:ilvl w:val="0"/>
          <w:numId w:val="1001"/>
        </w:numPr>
      </w:pPr>
      <w:r>
        <w:rPr>
          <w:b/>
          <w:bCs/>
        </w:rPr>
        <w:t xml:space="preserve">Deuteronomy 28:15-68</w:t>
      </w:r>
      <w:r>
        <w:t xml:space="preserve"> </w:t>
      </w:r>
      <w:r>
        <w:t xml:space="preserve">— The covenant curses that Moses pronounced, including foreign conquest, exile, and the destruction of the land; 2 Chronicles 36 is the fulfillment of exactly what Deuteronomy 28 predicted would happen to a nation that persistently abandoned the LORD — locating the exile within the covenantal structure God established at Sinai.</w:t>
      </w:r>
    </w:p>
    <w:p>
      <w:pPr>
        <w:numPr>
          <w:ilvl w:val="0"/>
          <w:numId w:val="1001"/>
        </w:numPr>
      </w:pPr>
      <w:r>
        <w:rPr>
          <w:b/>
          <w:bCs/>
        </w:rPr>
        <w:t xml:space="preserve">Isaiah 44:28-45:1</w:t>
      </w:r>
      <w:r>
        <w:t xml:space="preserve"> </w:t>
      </w:r>
      <w:r>
        <w:t xml:space="preserve">— God’s identification of Cyrus by name more than a century before his reign, calling him</w:t>
      </w:r>
      <w:r>
        <w:t xml:space="preserve"> </w:t>
      </w:r>
      <w:r>
        <w:t xml:space="preserve">“my shepherd”</w:t>
      </w:r>
      <w:r>
        <w:t xml:space="preserve"> </w:t>
      </w:r>
      <w:r>
        <w:t xml:space="preserve">who will authorize the rebuilding of Jerusalem; the Cyrus decree in 2 Chronicles 36:22-23 is the fulfillment of this prophecy, demonstrating that God’s sovereign purposes moved through a pagan king.</w:t>
      </w:r>
    </w:p>
    <w:p>
      <w:pPr>
        <w:numPr>
          <w:ilvl w:val="0"/>
          <w:numId w:val="1001"/>
        </w:numPr>
      </w:pPr>
      <w:r>
        <w:rPr>
          <w:b/>
          <w:bCs/>
        </w:rPr>
        <w:t xml:space="preserve">Lamentations 1:1-5; 3:19-33</w:t>
      </w:r>
      <w:r>
        <w:t xml:space="preserve"> </w:t>
      </w:r>
      <w:r>
        <w:t xml:space="preserve">— The companion witness to the exile’s devastation, written in the immediate wake of Jerusalem’s fall; Lamentations 3 (</w:t>
      </w:r>
      <w:r>
        <w:t xml:space="preserve">“the steadfast love of the LORD never ceases”</w:t>
      </w:r>
      <w:r>
        <w:t xml:space="preserve">) shows that even within the catastrophe, God’s character sustains hope — the same theological tension that 2 Chronicles 36 holds in its closing verses.</w:t>
      </w:r>
    </w:p>
    <w:p>
      <w:pPr>
        <w:numPr>
          <w:ilvl w:val="0"/>
          <w:numId w:val="1001"/>
        </w:numPr>
      </w:pPr>
      <w:r>
        <w:rPr>
          <w:b/>
          <w:bCs/>
        </w:rPr>
        <w:t xml:space="preserve">Romans 11:28-32</w:t>
      </w:r>
      <w:r>
        <w:t xml:space="preserve"> </w:t>
      </w:r>
      <w:r>
        <w:t xml:space="preserve">— Paul’s reflection on how Israel’s hardening served redemptive purposes for the nations, and how God’s calling is irrevocable; provides New Testament grounding for the Chronicler’s thesis that God’s purposes are not defeated by covenant failure but are mysteriously advanced through it.</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confront readers honestly with what covenant unfaithfulness ultimately costs — the loss of everything — and simultaneously to reorient them toward the God whose compassion and sovereign purposes cannot be finally exhausted by human failure.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Jehoahaz made king at 23; reigns 3 months in Jerusalem; Pharaoh Neco deposes him, imposes tribute, and installs Eliakim (renamed Jehoiakim) as king</w:t>
            </w:r>
          </w:p>
        </w:tc>
        <w:tc>
          <w:tcPr/>
          <w:p>
            <w:pPr>
              <w:pStyle w:val="Compact"/>
            </w:pPr>
            <w:r>
              <w:t xml:space="preserve">First of four failing kings; Egypt replaces one Davidic king with another; already the throne is under foreign control</w:t>
            </w:r>
          </w:p>
        </w:tc>
      </w:tr>
      <w:tr>
        <w:tc>
          <w:tcPr/>
          <w:p>
            <w:pPr>
              <w:pStyle w:val="Compact"/>
            </w:pPr>
            <w:r>
              <w:t xml:space="preserve">5-8</w:t>
            </w:r>
          </w:p>
        </w:tc>
        <w:tc>
          <w:tcPr/>
          <w:p>
            <w:pPr>
              <w:pStyle w:val="Compact"/>
            </w:pPr>
            <w:r>
              <w:t xml:space="preserve">Jehoiakim reigns 11 years; does evil; Nebuchadnezzar comes up, binds him in bronze shackles, carries him to Babylon; also takes temple vessels to Babylon</w:t>
            </w:r>
          </w:p>
        </w:tc>
        <w:tc>
          <w:tcPr/>
          <w:p>
            <w:pPr>
              <w:pStyle w:val="Compact"/>
            </w:pPr>
            <w:r>
              <w:t xml:space="preserve">Babylon begins stripping what Egypt started; temple vessels — sacred objects — are carried off to a foreign temple</w:t>
            </w:r>
          </w:p>
        </w:tc>
      </w:tr>
      <w:tr>
        <w:tc>
          <w:tcPr/>
          <w:p>
            <w:pPr>
              <w:pStyle w:val="Compact"/>
            </w:pPr>
            <w:r>
              <w:t xml:space="preserve">9-10</w:t>
            </w:r>
          </w:p>
        </w:tc>
        <w:tc>
          <w:tcPr/>
          <w:p>
            <w:pPr>
              <w:pStyle w:val="Compact"/>
            </w:pPr>
            <w:r>
              <w:t xml:space="preserve">Jehoiachin made king at 18; reigns 3 months and 10 days; does evil; Nebuchadnezzar sends and brings him to Babylon along with more precious vessels of the temple</w:t>
            </w:r>
          </w:p>
        </w:tc>
        <w:tc>
          <w:tcPr/>
          <w:p>
            <w:pPr>
              <w:pStyle w:val="Compact"/>
            </w:pPr>
            <w:r>
              <w:t xml:space="preserve">Further stripping of temple; the tenure grows shorter, the judgment grows more direct</w:t>
            </w:r>
          </w:p>
        </w:tc>
      </w:tr>
      <w:tr>
        <w:tc>
          <w:tcPr/>
          <w:p>
            <w:pPr>
              <w:pStyle w:val="Compact"/>
            </w:pPr>
            <w:r>
              <w:t xml:space="preserve">11-13</w:t>
            </w:r>
          </w:p>
        </w:tc>
        <w:tc>
          <w:tcPr/>
          <w:p>
            <w:pPr>
              <w:pStyle w:val="Compact"/>
            </w:pPr>
            <w:r>
              <w:t xml:space="preserve">Zedekiah made king at 21; reigns 11 years; does evil; does not humble himself before Jeremiah the prophet; stiffens his neck and hardens his heart against turning to the LORD God of Israel; also rebels against Nebuchadnezzar</w:t>
            </w:r>
          </w:p>
        </w:tc>
        <w:tc>
          <w:tcPr/>
          <w:p>
            <w:pPr>
              <w:pStyle w:val="Compact"/>
            </w:pPr>
            <w:r>
              <w:t xml:space="preserve">The pattern reaches its fullest expression: stiffened neck, hardened heart, rebellion against prophet and against Babylonian king simultaneously</w:t>
            </w:r>
          </w:p>
        </w:tc>
      </w:tr>
      <w:tr>
        <w:tc>
          <w:tcPr/>
          <w:p>
            <w:pPr>
              <w:pStyle w:val="Compact"/>
            </w:pPr>
            <w:r>
              <w:t xml:space="preserve">14</w:t>
            </w:r>
          </w:p>
        </w:tc>
        <w:tc>
          <w:tcPr/>
          <w:p>
            <w:pPr>
              <w:pStyle w:val="Compact"/>
            </w:pPr>
            <w:r>
              <w:t xml:space="preserve">All the leading priests and the people likewise are deeply unfaithful, following the abominations of the nations and polluting the house that God had made holy in Jerusalem</w:t>
            </w:r>
          </w:p>
        </w:tc>
        <w:tc>
          <w:tcPr/>
          <w:p>
            <w:pPr>
              <w:pStyle w:val="Compact"/>
            </w:pPr>
            <w:r>
              <w:t xml:space="preserve">The failure is not merely royal — it is priestly and popular; the entire covenant community is implicated</w:t>
            </w:r>
          </w:p>
        </w:tc>
      </w:tr>
      <w:tr>
        <w:tc>
          <w:tcPr/>
          <w:p>
            <w:pPr>
              <w:pStyle w:val="Compact"/>
            </w:pPr>
            <w:r>
              <w:t xml:space="preserve">15-16</w:t>
            </w:r>
          </w:p>
        </w:tc>
        <w:tc>
          <w:tcPr/>
          <w:p>
            <w:pPr>
              <w:pStyle w:val="Compact"/>
            </w:pPr>
            <w:r>
              <w:t xml:space="preserve">The LORD, the God of their fathers, sent persistently to them by his messengers — because he had compassion on his people and on his dwelling place. They mocked, despised, and scoffed until wrath arose with no remedy</w:t>
            </w:r>
          </w:p>
        </w:tc>
        <w:tc>
          <w:tcPr/>
          <w:p>
            <w:pPr>
              <w:pStyle w:val="Compact"/>
            </w:pPr>
            <w:r>
              <w:t xml:space="preserve">The theological center of the chapter — divine compassion, repeated warning, human hardening, exhausted patience</w:t>
            </w:r>
          </w:p>
        </w:tc>
      </w:tr>
      <w:tr>
        <w:tc>
          <w:tcPr/>
          <w:p>
            <w:pPr>
              <w:pStyle w:val="Compact"/>
            </w:pPr>
            <w:r>
              <w:t xml:space="preserve">17-19</w:t>
            </w:r>
          </w:p>
        </w:tc>
        <w:tc>
          <w:tcPr/>
          <w:p>
            <w:pPr>
              <w:pStyle w:val="Compact"/>
            </w:pPr>
            <w:r>
              <w:t xml:space="preserve">Nebuchadnezzar brings the king of Chaldeans against them; kills young men in the sanctuary; no compassion on young man or virgin, old man or aged; burns the house of God, breaks down the wall of Jerusalem, burns all its palaces, destroys all its precious vessels</w:t>
            </w:r>
          </w:p>
        </w:tc>
        <w:tc>
          <w:tcPr/>
          <w:p>
            <w:pPr>
              <w:pStyle w:val="Compact"/>
            </w:pPr>
            <w:r>
              <w:t xml:space="preserve">The judgment mirrors the sin — they refused compassion; now the instruments of judgment show no compassion; the temple is destroyed</w:t>
            </w:r>
          </w:p>
        </w:tc>
      </w:tr>
      <w:tr>
        <w:tc>
          <w:tcPr/>
          <w:p>
            <w:pPr>
              <w:pStyle w:val="Compact"/>
            </w:pPr>
            <w:r>
              <w:t xml:space="preserve">20-21</w:t>
            </w:r>
          </w:p>
        </w:tc>
        <w:tc>
          <w:tcPr/>
          <w:p>
            <w:pPr>
              <w:pStyle w:val="Compact"/>
            </w:pPr>
            <w:r>
              <w:t xml:space="preserve">Those who survive are carried to Babylon; they become servants to Nebuchadnezzar and his sons until the reign of the kingdom of Persia; to fulfill the word of the LORD by the mouth of Jeremiah; the land enjoys its Sabbaths — resting seventy years</w:t>
            </w:r>
          </w:p>
        </w:tc>
        <w:tc>
          <w:tcPr/>
          <w:p>
            <w:pPr>
              <w:pStyle w:val="Compact"/>
            </w:pPr>
            <w:r>
              <w:t xml:space="preserve">Exile fulfills Jeremiah’s prophecy; even the devastation is interpreted as covenantal (Sabbath rest for the land, Leviticus 26:34-35)</w:t>
            </w:r>
          </w:p>
        </w:tc>
      </w:tr>
      <w:tr>
        <w:tc>
          <w:tcPr/>
          <w:p>
            <w:pPr>
              <w:pStyle w:val="Compact"/>
            </w:pPr>
            <w:r>
              <w:t xml:space="preserve">22-23</w:t>
            </w:r>
          </w:p>
        </w:tc>
        <w:tc>
          <w:tcPr/>
          <w:p>
            <w:pPr>
              <w:pStyle w:val="Compact"/>
            </w:pPr>
            <w:r>
              <w:t xml:space="preserve">In the first year of Cyrus king of Persia, the word of the LORD by the mouth of Jeremiah is fulfilled; Cyrus issues his decree: all kingdoms of the earth given to him by the LORD God of heaven; he is charged to build God a house in Jerusalem; whoever is among God’s people, let him go up</w:t>
            </w:r>
          </w:p>
        </w:tc>
        <w:tc>
          <w:tcPr/>
          <w:p>
            <w:pPr>
              <w:pStyle w:val="Compact"/>
            </w:pPr>
            <w:r>
              <w:t xml:space="preserve">Pivot to restoration; God moves through a pagan king; the book ends on an open door —</w:t>
            </w:r>
            <w:r>
              <w:t xml:space="preserve"> </w:t>
            </w:r>
            <w:r>
              <w:t xml:space="preserve">“let him go up”</w:t>
            </w:r>
            <w:r>
              <w:t xml:space="preserve"> </w:t>
            </w:r>
            <w:r>
              <w:t xml:space="preserve">— an invitation both to the post-exilic community and to every subsequent reader</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Pattern of Failure: Four Kings, One Verdict</w:t>
            </w:r>
          </w:p>
        </w:tc>
      </w:tr>
      <w:tr>
        <w:tc>
          <w:tcPr/>
          <w:p>
            <w:pPr>
              <w:pStyle w:val="Compact"/>
            </w:pPr>
            <w:r>
              <w:t xml:space="preserve">2</w:t>
            </w:r>
          </w:p>
        </w:tc>
        <w:tc>
          <w:tcPr/>
          <w:p>
            <w:pPr>
              <w:pStyle w:val="Compact"/>
            </w:pPr>
            <w:r>
              <w:t xml:space="preserve">14</w:t>
            </w:r>
          </w:p>
        </w:tc>
        <w:tc>
          <w:tcPr/>
          <w:p>
            <w:pPr>
              <w:pStyle w:val="Compact"/>
            </w:pPr>
            <w:r>
              <w:t xml:space="preserve">The Breadth of the Failure: Priests, People, and the Polluted House</w:t>
            </w:r>
          </w:p>
        </w:tc>
      </w:tr>
      <w:tr>
        <w:tc>
          <w:tcPr/>
          <w:p>
            <w:pPr>
              <w:pStyle w:val="Compact"/>
            </w:pPr>
            <w:r>
              <w:t xml:space="preserve">3</w:t>
            </w:r>
          </w:p>
        </w:tc>
        <w:tc>
          <w:tcPr/>
          <w:p>
            <w:pPr>
              <w:pStyle w:val="Compact"/>
            </w:pPr>
            <w:r>
              <w:t xml:space="preserve">15-16</w:t>
            </w:r>
          </w:p>
        </w:tc>
        <w:tc>
          <w:tcPr/>
          <w:p>
            <w:pPr>
              <w:pStyle w:val="Compact"/>
            </w:pPr>
            <w:r>
              <w:t xml:space="preserve">The Theological Center: Compassion Exhausted, Wrath Enacted</w:t>
            </w:r>
          </w:p>
        </w:tc>
      </w:tr>
      <w:tr>
        <w:tc>
          <w:tcPr/>
          <w:p>
            <w:pPr>
              <w:pStyle w:val="Compact"/>
            </w:pPr>
            <w:r>
              <w:t xml:space="preserve">4</w:t>
            </w:r>
          </w:p>
        </w:tc>
        <w:tc>
          <w:tcPr/>
          <w:p>
            <w:pPr>
              <w:pStyle w:val="Compact"/>
            </w:pPr>
            <w:r>
              <w:t xml:space="preserve">17-21</w:t>
            </w:r>
          </w:p>
        </w:tc>
        <w:tc>
          <w:tcPr/>
          <w:p>
            <w:pPr>
              <w:pStyle w:val="Compact"/>
            </w:pPr>
            <w:r>
              <w:t xml:space="preserve">The Judgment Falls: Temple Destroyed, People Exiled, Land Resting</w:t>
            </w:r>
          </w:p>
        </w:tc>
      </w:tr>
      <w:tr>
        <w:tc>
          <w:tcPr/>
          <w:p>
            <w:pPr>
              <w:pStyle w:val="Compact"/>
            </w:pPr>
            <w:r>
              <w:t xml:space="preserve">5</w:t>
            </w:r>
          </w:p>
        </w:tc>
        <w:tc>
          <w:tcPr/>
          <w:p>
            <w:pPr>
              <w:pStyle w:val="Compact"/>
            </w:pPr>
            <w:r>
              <w:t xml:space="preserve">22-23</w:t>
            </w:r>
          </w:p>
        </w:tc>
        <w:tc>
          <w:tcPr/>
          <w:p>
            <w:pPr>
              <w:pStyle w:val="Compact"/>
            </w:pPr>
            <w:r>
              <w:t xml:space="preserve">The Open Door: God’s Purpose Outlasts the Wreckage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Judah’s covenant rebellion brings irreversible judgment — yet God’s redemptive purpose survives the wreckage.</w:t>
      </w:r>
    </w:p>
    <w:p>
      <w:pPr>
        <w:pStyle w:val="BodyText"/>
      </w:pPr>
      <w:r>
        <w:rPr>
          <w:b/>
          <w:bCs/>
        </w:rPr>
        <w:t xml:space="preserve">Primary Claim:</w:t>
      </w:r>
      <w:r>
        <w:t xml:space="preserve"> </w:t>
      </w:r>
      <w:r>
        <w:t xml:space="preserve">God is calling His people to face squarely what sustained unfaithfulness costs — the loss of everything — while trusting that He remains sovereign over the wreckage, that His compassion has not expired, and that His purposes move forward precisely through the exile and restoration He orchestrates.</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Recognize that God’s patience is not God’s indifference — and do not mistake the delay of judgment for the absence of consequence.</w:t>
      </w:r>
      <w:r>
        <w:t xml:space="preserve"> </w:t>
      </w:r>
      <w:r>
        <w:t xml:space="preserve">(Mind/Belief)</w:t>
      </w:r>
    </w:p>
    <w:p>
      <w:pPr>
        <w:pStyle w:val="BodyText"/>
      </w:pPr>
      <w:r>
        <w:t xml:space="preserve">The people of Judah heard prophets</w:t>
      </w:r>
      <w:r>
        <w:t xml:space="preserve"> </w:t>
      </w:r>
      <w:r>
        <w:t xml:space="preserve">“again and again”</w:t>
      </w:r>
      <w:r>
        <w:t xml:space="preserve"> </w:t>
      </w:r>
      <w:r>
        <w:t xml:space="preserve">(v. 15) and interpreted continued national existence as proof that nothing was ultimately wrong. Every generation that experienced no catastrophe concluded the warnings were empty. This is the precise mechanism by which covenant unfaithfulness calcifies into hardness of heart — not sudden rejection of God, but the slow accumulation of unanswered warnings treated as evidence that there are no real consequences. The reader must reframe: God’s patience is an expression of His compassion, not a signal that the account is not being kept. Warnings unheeded do not disappear; they compound. The time to hear a warning is while it is still being given.</w:t>
      </w:r>
    </w:p>
    <w:p>
      <w:pPr>
        <w:pStyle w:val="BodyText"/>
      </w:pPr>
      <w:r>
        <w:rPr>
          <w:b/>
          <w:bCs/>
        </w:rPr>
        <w:t xml:space="preserve">2. Grieve the ways your community — not just you individually — may be in a pattern of covenant drift that no single person feels responsible for.</w:t>
      </w:r>
      <w:r>
        <w:t xml:space="preserve"> </w:t>
      </w:r>
      <w:r>
        <w:t xml:space="preserve">(Affections/Worship)</w:t>
      </w:r>
    </w:p>
    <w:p>
      <w:pPr>
        <w:pStyle w:val="BodyText"/>
      </w:pPr>
      <w:r>
        <w:t xml:space="preserve">Verse 14 is stunning in its corporate scope:</w:t>
      </w:r>
      <w:r>
        <w:t xml:space="preserve"> </w:t>
      </w:r>
      <w:r>
        <w:t xml:space="preserve">“all the leading priests and the people likewise were deeply unfaithful.”</w:t>
      </w:r>
      <w:r>
        <w:t xml:space="preserve"> </w:t>
      </w:r>
      <w:r>
        <w:t xml:space="preserve">The catastrophe was not one king’s failure; it was a civilization-wide abandonment normalized over generations. Individual members of Judah could have said, truthfully,</w:t>
      </w:r>
      <w:r>
        <w:t xml:space="preserve"> </w:t>
      </w:r>
      <w:r>
        <w:t xml:space="preserve">“I didn’t make this decision”</w:t>
      </w:r>
      <w:r>
        <w:t xml:space="preserve"> </w:t>
      </w:r>
      <w:r>
        <w:t xml:space="preserve">— and yet they shared in the exile. The application here is not guilt-by-association but a call to grieve what corporate drift costs and to refuse the posture of the uninvolved bystander. Communities drift. Churches drift. Families drift. The godly member of a drifting community does not merely remain personally faithful — they mourn and, where possible, act as a counterweight against the drift.</w:t>
      </w:r>
    </w:p>
    <w:p>
      <w:pPr>
        <w:pStyle w:val="BodyText"/>
      </w:pPr>
      <w:r>
        <w:rPr>
          <w:b/>
          <w:bCs/>
        </w:rPr>
        <w:t xml:space="preserve">3. Worship the God who sent prophets again and again because of His compassion — and let that compassion be the ground of your confidence, not your own faithfulness.</w:t>
      </w:r>
      <w:r>
        <w:t xml:space="preserve"> </w:t>
      </w:r>
      <w:r>
        <w:t xml:space="preserve">(Affections/Worship)</w:t>
      </w:r>
    </w:p>
    <w:p>
      <w:pPr>
        <w:pStyle w:val="BodyText"/>
      </w:pPr>
      <w:r>
        <w:t xml:space="preserve">Verse 15 attributes the repeated sending of prophets not to divine obligation or legal procedure but to</w:t>
      </w:r>
      <w:r>
        <w:t xml:space="preserve"> </w:t>
      </w:r>
      <w:r>
        <w:rPr>
          <w:i/>
          <w:iCs/>
        </w:rPr>
        <w:t xml:space="preserve">compassion</w:t>
      </w:r>
      <w:r>
        <w:t xml:space="preserve"> </w:t>
      </w:r>
      <w:r>
        <w:t xml:space="preserve">— the Hebrew root (</w:t>
      </w:r>
      <w:r>
        <w:rPr>
          <w:i/>
          <w:iCs/>
        </w:rPr>
        <w:t xml:space="preserve">ḥmh</w:t>
      </w:r>
      <w:r>
        <w:t xml:space="preserve">) carries the warmth of visceral, parental mercy. God did not warn Judah because He was required to; He warned them because He could not watch what was happening to His people and His dwelling place without intervening in love. This is the character of the God with whom believers now deal. The reader whose own history of covenant unfaithfulness makes confidence feel presumptuous needs to be re-anchored here: the ground of confidence is never your faithfulness; it is always His compassion. That compassion is what drove Him to send warning after warning — and ultimately to send His Son.</w:t>
      </w:r>
    </w:p>
    <w:p>
      <w:pPr>
        <w:pStyle w:val="BodyText"/>
      </w:pPr>
      <w:r>
        <w:rPr>
          <w:b/>
          <w:bCs/>
        </w:rPr>
        <w:t xml:space="preserve">4. Identify and name the specific forms of idolatry in your own life that you have been treating as negotiable — the</w:t>
      </w:r>
      <w:r>
        <w:rPr>
          <w:b/>
          <w:bCs/>
        </w:rPr>
        <w:t xml:space="preserve"> </w:t>
      </w:r>
      <w:r>
        <w:rPr>
          <w:b/>
          <w:bCs/>
        </w:rPr>
        <w:t xml:space="preserve">“abominations of the nations”</w:t>
      </w:r>
      <w:r>
        <w:rPr>
          <w:b/>
          <w:bCs/>
        </w:rPr>
        <w:t xml:space="preserve"> </w:t>
      </w:r>
      <w:r>
        <w:rPr>
          <w:b/>
          <w:bCs/>
        </w:rPr>
        <w:t xml:space="preserve">(v. 14) that have become normalized.</w:t>
      </w:r>
      <w:r>
        <w:t xml:space="preserve"> </w:t>
      </w:r>
      <w:r>
        <w:t xml:space="preserve">(Will/Behavior)</w:t>
      </w:r>
    </w:p>
    <w:p>
      <w:pPr>
        <w:pStyle w:val="BodyText"/>
      </w:pPr>
      <w:r>
        <w:t xml:space="preserve">The Chronicler identifies the priests and people as</w:t>
      </w:r>
      <w:r>
        <w:t xml:space="preserve"> </w:t>
      </w:r>
      <w:r>
        <w:t xml:space="preserve">“following the abominations of the nations”</w:t>
      </w:r>
      <w:r>
        <w:t xml:space="preserve"> </w:t>
      </w:r>
      <w:r>
        <w:t xml:space="preserve">— a phrase that specifically targets the adoption of surrounding culture’s gods and practices, gradually imported into the life of the covenant community until they felt native. The application is concrete and uncomfortable: what has drifted in from the surrounding culture and taken up residence in your life, your household, your church’s assumptions, your patterns of thought and spending and ambition, that you have stopped noticing because everyone around you does it too? The idol that has become invisible is the most dangerous one. Name it. That is the first act of repentance.</w:t>
      </w:r>
    </w:p>
    <w:p>
      <w:pPr>
        <w:pStyle w:val="BodyText"/>
      </w:pPr>
      <w:r>
        <w:rPr>
          <w:b/>
          <w:bCs/>
        </w:rPr>
        <w:t xml:space="preserve">5. Live as a people whose history ends with</w:t>
      </w:r>
      <w:r>
        <w:rPr>
          <w:b/>
          <w:bCs/>
        </w:rPr>
        <w:t xml:space="preserve"> </w:t>
      </w:r>
      <w:r>
        <w:rPr>
          <w:b/>
          <w:bCs/>
        </w:rPr>
        <w:t xml:space="preserve">“let him go up”</w:t>
      </w:r>
      <w:r>
        <w:rPr>
          <w:b/>
          <w:bCs/>
        </w:rPr>
        <w:t xml:space="preserve"> </w:t>
      </w:r>
      <w:r>
        <w:rPr>
          <w:b/>
          <w:bCs/>
        </w:rPr>
        <w:t xml:space="preserve">— with the open door, not the exile — because God’s purposes cannot be finally sealed in the tomb of human failure.</w:t>
      </w:r>
      <w:r>
        <w:t xml:space="preserve"> </w:t>
      </w:r>
      <w:r>
        <w:t xml:space="preserve">(Mind/Belief)</w:t>
      </w:r>
    </w:p>
    <w:p>
      <w:pPr>
        <w:pStyle w:val="BodyText"/>
      </w:pPr>
      <w:r>
        <w:t xml:space="preserve">The Chronicler’s decision to end the entire book of 2 Chronicles on the Cyrus decree — and specifically on the words</w:t>
      </w:r>
      <w:r>
        <w:t xml:space="preserve"> </w:t>
      </w:r>
      <w:r>
        <w:t xml:space="preserve">“let him go up”</w:t>
      </w:r>
      <w:r>
        <w:t xml:space="preserve"> </w:t>
      </w:r>
      <w:r>
        <w:t xml:space="preserve">— is a deliberate homiletical act. He refuses to let the exile be the last word. For the post-exilic community, reading this as they were rebuilding the temple with Persian permission, it was an anchor:</w:t>
      </w:r>
      <w:r>
        <w:t xml:space="preserve"> </w:t>
      </w:r>
      <w:r>
        <w:rPr>
          <w:i/>
          <w:iCs/>
        </w:rPr>
        <w:t xml:space="preserve">God did this.</w:t>
      </w:r>
      <w:r>
        <w:t xml:space="preserve"> </w:t>
      </w:r>
      <w:r>
        <w:t xml:space="preserve">The same is true for every reader on the far side of catastrophic failure — personal, familial, ecclesiastical, or national. God is not improvising around human wreckage. He is working through it, as He has always done, toward a restoration that He will accomplish. The invitation to</w:t>
      </w:r>
      <w:r>
        <w:t xml:space="preserve"> </w:t>
      </w:r>
      <w:r>
        <w:t xml:space="preserve">“go up”</w:t>
      </w:r>
      <w:r>
        <w:t xml:space="preserve"> </w:t>
      </w:r>
      <w:r>
        <w:t xml:space="preserve">is still open. Go.</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passage teaches that God is simultaneously and irreducibly both compassionate and just — and that these two attributes do not compete but together constitute His covenant faithfulness. The repeated sending of prophets (v. 15) demonstrates that divine patience is not merely a strategic delay but the outworking of genuine compassion toward people who have not yet hardened beyond reach. The arrival of irreversible judgment (v. 16) demonstrates that God’s holiness is not a performance — when His people persistently despise His word and pollute His house, the covenant curses He promised are the curses He enacts. Neither attribute can be removed without distorting the God of Scripture into either an indulgent grandfather or a cold judicial machinery. Furthermore, the passage teaches divine sovereignty over pagan powers: Nebuchadnezzar is God’s instrument of judgment; Cyrus is God’s instrument of restoration. God governs history at the macro level — nations, emperors, decrees — in order to accomplish His redemptive purposes for His covenant people.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Second Chronicles 36 is a concentrated display of what Reformed theology means by the sovereignty of God over history and the seriousness of covenant. The exile is not an accident, not a defeat, and not a divine miscalculation — it is the enacted word of God fulfilling precisely what Jeremiah predicted, accomplishing precisely what Leviticus 26 prescribed (Sabbath rest for the land), and setting the stage for precisely what Isaiah 45 anticipated in the Cyrus decree. This is covenant theology functioning at full scope: promise, warning, fulfillment of warning, and preservation of ultimate purpose — all governed by the one God who cannot be outmaneuvered by human failure. The passage also resists the moralistic reduction of covenant life to behavioral compliance: the Chronicler’s indictment of Judah is not merely that they broke rules but that they rejected</w:t>
      </w:r>
      <w:r>
        <w:t xml:space="preserve"> </w:t>
      </w:r>
      <w:r>
        <w:rPr>
          <w:i/>
          <w:iCs/>
        </w:rPr>
        <w:t xml:space="preserve">the LORD</w:t>
      </w:r>
      <w:r>
        <w:t xml:space="preserve"> </w:t>
      </w:r>
      <w:r>
        <w:t xml:space="preserve">— their God, their covenant partner, the one whose compassion kept sending them messengers. The failure is relational and worshipful before it is behavioral. This makes the restoration in vv. 22-23 function as a grace-word: God restores not because Judah earned it through exile-suffering but because His purposes cannot be finally thwarted — an anticipation of the resurrection logic that will fully emerge in Christ, who absorbs the ultimate exile (the curse of God) and rises to issue the ultimate</w:t>
      </w:r>
      <w:r>
        <w:t xml:space="preserve"> </w:t>
      </w:r>
      <w:r>
        <w:t xml:space="preserve">“let him go up.”</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p>
    <w:p>
      <w:pPr>
        <w:pStyle w:val="BodyText"/>
      </w:pPr>
      <w:r>
        <w:t xml:space="preserve">God’s warnings are not empty, His patience is not permission, and His compassion is not the same thing as indifference to sin — Judah learned this at the cost of everything. But God’s purposes are also not finished when everything has been lost — Cyrus’s decree proves that. The God you serve is still sending warnings because He still has compassion, and His purposes for you will not be sealed in any exile of your own making. Hear the warnings while they are still being given. And if you are already standing in the wreckage — the door is still open. Go up.</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kings without preaching the theology of vv. 15-16.</w:t>
      </w:r>
      <w:r>
        <w:t xml:space="preserve"> </w:t>
      </w:r>
      <w:r>
        <w:t xml:space="preserve">The most common mishandling of this chapter is treating it as a historical survey of four failed monarchs and the fall of Jerusalem, with a brief hopeful note about Cyrus at the end. This loses the Chronicler’s entire point. Verses 15-16 are not parenthetical — they are the interpretive key to everything else in the chapter. The sermon that does not linger here has missed the chapter’s center of gravity. The historical material (vv. 1-13) is in service of the theological claim (vv. 15-16), not the other way around.</w:t>
      </w:r>
    </w:p>
    <w:p>
      <w:pPr>
        <w:numPr>
          <w:ilvl w:val="0"/>
          <w:numId w:val="1002"/>
        </w:numPr>
      </w:pPr>
      <w:r>
        <w:rPr>
          <w:b/>
          <w:bCs/>
        </w:rPr>
        <w:t xml:space="preserve">Moralistic use of the kings as negative examples without gospel grounding.</w:t>
      </w:r>
      <w:r>
        <w:t xml:space="preserve"> </w:t>
      </w:r>
      <w:r>
        <w:t xml:space="preserve">It is very easy — and very insufficient — to preach this passage as</w:t>
      </w:r>
      <w:r>
        <w:t xml:space="preserve"> </w:t>
      </w:r>
      <w:r>
        <w:t xml:space="preserve">“don’t be like Zedekiah; don’t harden your heart like the people.”</w:t>
      </w:r>
      <w:r>
        <w:t xml:space="preserve"> </w:t>
      </w:r>
      <w:r>
        <w:t xml:space="preserve">This is accurate but not yet the gospel. The Clowneyian anti-moralism principle applies directly: the behavior being warned against (hardened heart, despising prophets) is rooted in a prior failure of trust and worship. The application must diagnose the heart beneath the behavior, and the motivation for change must be the character of God displayed in v. 15, not merely the consequences displayed in vv. 17-19.</w:t>
      </w:r>
    </w:p>
    <w:p>
      <w:pPr>
        <w:numPr>
          <w:ilvl w:val="0"/>
          <w:numId w:val="1002"/>
        </w:numPr>
      </w:pPr>
      <w:r>
        <w:rPr>
          <w:b/>
          <w:bCs/>
        </w:rPr>
        <w:t xml:space="preserve">Treating the Cyrus decree as merely historical rather than theologically climactic.</w:t>
      </w:r>
      <w:r>
        <w:t xml:space="preserve"> </w:t>
      </w:r>
      <w:r>
        <w:t xml:space="preserve">The preacher who reduces vv. 22-23 to</w:t>
      </w:r>
      <w:r>
        <w:t xml:space="preserve"> </w:t>
      </w:r>
      <w:r>
        <w:t xml:space="preserve">“and then Cyrus let them go home”</w:t>
      </w:r>
      <w:r>
        <w:t xml:space="preserve"> </w:t>
      </w:r>
      <w:r>
        <w:t xml:space="preserve">has missed the Chronicler’s structural purpose. Cyrus is a theological statement, not a geopolitical footnote: God moved a pagan emperor to accomplish what Israel’s own kings could not protect. The God who can use Cyrus can use anything. This deserves deliberate development, not a closing summary sentence.</w:t>
      </w:r>
    </w:p>
    <w:p>
      <w:pPr>
        <w:numPr>
          <w:ilvl w:val="0"/>
          <w:numId w:val="1002"/>
        </w:numPr>
      </w:pPr>
      <w:r>
        <w:rPr>
          <w:b/>
          <w:bCs/>
        </w:rPr>
        <w:t xml:space="preserve">Failing to hold the tension between</w:t>
      </w:r>
      <w:r>
        <w:rPr>
          <w:b/>
          <w:bCs/>
        </w:rPr>
        <w:t xml:space="preserve"> </w:t>
      </w:r>
      <w:r>
        <w:rPr>
          <w:b/>
          <w:bCs/>
        </w:rPr>
        <w:t xml:space="preserve">“no remedy”</w:t>
      </w:r>
      <w:r>
        <w:rPr>
          <w:b/>
          <w:bCs/>
        </w:rPr>
        <w:t xml:space="preserve"> </w:t>
      </w:r>
      <w:r>
        <w:rPr>
          <w:b/>
          <w:bCs/>
        </w:rPr>
        <w:t xml:space="preserve">(v. 16) and</w:t>
      </w:r>
      <w:r>
        <w:rPr>
          <w:b/>
          <w:bCs/>
        </w:rPr>
        <w:t xml:space="preserve"> </w:t>
      </w:r>
      <w:r>
        <w:rPr>
          <w:b/>
          <w:bCs/>
        </w:rPr>
        <w:t xml:space="preserve">“let him go up”</w:t>
      </w:r>
      <w:r>
        <w:rPr>
          <w:b/>
          <w:bCs/>
        </w:rPr>
        <w:t xml:space="preserve"> </w:t>
      </w:r>
      <w:r>
        <w:rPr>
          <w:b/>
          <w:bCs/>
        </w:rPr>
        <w:t xml:space="preserve">(v. 23).</w:t>
      </w:r>
      <w:r>
        <w:t xml:space="preserve"> </w:t>
      </w:r>
      <w:r>
        <w:t xml:space="preserve">This passage is only faithful when both truths are preached with full weight. A sermon that softens</w:t>
      </w:r>
      <w:r>
        <w:t xml:space="preserve"> </w:t>
      </w:r>
      <w:r>
        <w:t xml:space="preserve">“no remedy”</w:t>
      </w:r>
      <w:r>
        <w:t xml:space="preserve"> </w:t>
      </w:r>
      <w:r>
        <w:t xml:space="preserve">into</w:t>
      </w:r>
      <w:r>
        <w:t xml:space="preserve"> </w:t>
      </w:r>
      <w:r>
        <w:t xml:space="preserve">“God is patient and forgiving so don’t worry too much”</w:t>
      </w:r>
      <w:r>
        <w:t xml:space="preserve"> </w:t>
      </w:r>
      <w:r>
        <w:t xml:space="preserve">has not preached this text. A sermon that preaches</w:t>
      </w:r>
      <w:r>
        <w:t xml:space="preserve"> </w:t>
      </w:r>
      <w:r>
        <w:t xml:space="preserve">“no remedy”</w:t>
      </w:r>
      <w:r>
        <w:t xml:space="preserve"> </w:t>
      </w:r>
      <w:r>
        <w:t xml:space="preserve">without the open door of vv. 22-23 has also not preached this text. The Chronicler holds both without resolving the tension artificially — the preacher must do the same.</w:t>
      </w:r>
    </w:p>
    <w:p>
      <w:pPr>
        <w:numPr>
          <w:ilvl w:val="0"/>
          <w:numId w:val="1002"/>
        </w:numPr>
      </w:pPr>
      <w:r>
        <w:rPr>
          <w:b/>
          <w:bCs/>
        </w:rPr>
        <w:t xml:space="preserve">Applying the passage primarily to individuals without its corporate dimension.</w:t>
      </w:r>
      <w:r>
        <w:t xml:space="preserve"> </w:t>
      </w:r>
      <w:r>
        <w:t xml:space="preserve">Verse 14 indicts the whole community — priests, people, leadership — not a single bad king. The temptation is to personalize every application and bypass the corporate indictment. But the Chronicler’s concern is the health of the covenant community, not merely individual piety. The passage has direct application to churches, to Christian families, and to Christian subcultures that have accommodated idolatry without any single person feeling personally responsible. The corporate application must not be avoided because it is uncomfortable.</w:t>
      </w:r>
    </w:p>
    <w:p>
      <w:pPr>
        <w:numPr>
          <w:ilvl w:val="0"/>
          <w:numId w:val="1002"/>
        </w:numPr>
      </w:pPr>
      <w:r>
        <w:rPr>
          <w:b/>
          <w:bCs/>
        </w:rPr>
        <w:t xml:space="preserve">Ignoring the canonical placement.</w:t>
      </w:r>
      <w:r>
        <w:t xml:space="preserve"> </w:t>
      </w:r>
      <w:r>
        <w:t xml:space="preserve">Second Chronicles is the last book of the Hebrew canon (in the traditional Hebrew ordering of the Tanak), which means</w:t>
      </w:r>
      <w:r>
        <w:t xml:space="preserve"> </w:t>
      </w:r>
      <w:r>
        <w:t xml:space="preserve">“let him go up”</w:t>
      </w:r>
      <w:r>
        <w:t xml:space="preserve"> </w:t>
      </w:r>
      <w:r>
        <w:t xml:space="preserve">are the last words of the Old Testament as Jesus and the apostles would have known it. The open invitation at the end of the Hebrew Bible —</w:t>
      </w:r>
      <w:r>
        <w:t xml:space="preserve"> </w:t>
      </w:r>
      <w:r>
        <w:rPr>
          <w:i/>
          <w:iCs/>
        </w:rPr>
        <w:t xml:space="preserve">whoever among you is of his people, let him go up</w:t>
      </w:r>
      <w:r>
        <w:t xml:space="preserve"> </w:t>
      </w:r>
      <w:r>
        <w:t xml:space="preserve">— is not a minor textual detail. It is the Hebrew canon’s final posture: open, inviting, forward-looking. To preach 2 Chronicles 36 without noting this is to miss a significant dimension of its canonical weight.</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2026-07-14T21:03:37Z</dcterms:created>
  <dcterms:modified xsi:type="dcterms:W3CDTF">2026-07-14T21:03:37Z</dcterms:modified>
</cp:coreProperties>
</file>

<file path=docProps/custom.xml><?xml version="1.0" encoding="utf-8"?>
<Properties xmlns="http://schemas.openxmlformats.org/officeDocument/2006/custom-properties" xmlns:vt="http://schemas.openxmlformats.org/officeDocument/2006/docPropsVTypes"/>
</file>